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30A97" w:rsidRPr="00451AC0" w:rsidRDefault="00630A97" w:rsidP="00451AC0">
      <w:pPr>
        <w:tabs>
          <w:tab w:val="left" w:pos="5475"/>
        </w:tabs>
        <w:spacing w:line="480" w:lineRule="auto"/>
        <w:rPr>
          <w:rFonts w:ascii="Times New Roman" w:hAnsi="Times New Roman" w:cs="Times New Roman"/>
          <w:sz w:val="24"/>
          <w:szCs w:val="24"/>
        </w:rPr>
      </w:pPr>
    </w:p>
    <w:p w:rsidR="00B077B4" w:rsidRPr="00451AC0" w:rsidRDefault="00B077B4" w:rsidP="00451AC0">
      <w:pPr>
        <w:tabs>
          <w:tab w:val="left" w:pos="5475"/>
        </w:tabs>
        <w:spacing w:line="480" w:lineRule="auto"/>
        <w:rPr>
          <w:rFonts w:ascii="Times New Roman" w:hAnsi="Times New Roman" w:cs="Times New Roman"/>
          <w:sz w:val="24"/>
          <w:szCs w:val="24"/>
        </w:rPr>
      </w:pPr>
    </w:p>
    <w:p w:rsidR="00B077B4" w:rsidRPr="00451AC0" w:rsidRDefault="00B077B4" w:rsidP="00451AC0">
      <w:pPr>
        <w:tabs>
          <w:tab w:val="left" w:pos="5475"/>
        </w:tabs>
        <w:spacing w:line="480" w:lineRule="auto"/>
        <w:rPr>
          <w:rFonts w:ascii="Times New Roman" w:hAnsi="Times New Roman" w:cs="Times New Roman"/>
          <w:sz w:val="24"/>
          <w:szCs w:val="24"/>
        </w:rPr>
      </w:pPr>
    </w:p>
    <w:p w:rsidR="00B077B4" w:rsidRPr="00451AC0" w:rsidRDefault="00B077B4" w:rsidP="00451AC0">
      <w:pPr>
        <w:tabs>
          <w:tab w:val="left" w:pos="5475"/>
        </w:tabs>
        <w:spacing w:line="480" w:lineRule="auto"/>
        <w:rPr>
          <w:rFonts w:ascii="Times New Roman" w:hAnsi="Times New Roman" w:cs="Times New Roman"/>
          <w:sz w:val="24"/>
          <w:szCs w:val="24"/>
        </w:rPr>
      </w:pPr>
    </w:p>
    <w:p w:rsidR="00B077B4" w:rsidRPr="00451AC0" w:rsidRDefault="00B077B4" w:rsidP="00451AC0">
      <w:pPr>
        <w:tabs>
          <w:tab w:val="left" w:pos="5475"/>
        </w:tabs>
        <w:spacing w:line="480" w:lineRule="auto"/>
        <w:rPr>
          <w:rFonts w:ascii="Times New Roman" w:hAnsi="Times New Roman" w:cs="Times New Roman"/>
          <w:sz w:val="24"/>
          <w:szCs w:val="24"/>
        </w:rPr>
      </w:pPr>
    </w:p>
    <w:p w:rsidR="00B077B4" w:rsidRPr="00451AC0" w:rsidRDefault="00B077B4" w:rsidP="00451AC0">
      <w:pPr>
        <w:tabs>
          <w:tab w:val="left" w:pos="5475"/>
        </w:tabs>
        <w:spacing w:line="480" w:lineRule="auto"/>
        <w:rPr>
          <w:rFonts w:ascii="Times New Roman" w:hAnsi="Times New Roman" w:cs="Times New Roman"/>
          <w:sz w:val="24"/>
          <w:szCs w:val="24"/>
        </w:rPr>
      </w:pPr>
    </w:p>
    <w:p w:rsidR="00A3617A" w:rsidRPr="00451AC0" w:rsidRDefault="00451AC0" w:rsidP="00451AC0">
      <w:pPr>
        <w:tabs>
          <w:tab w:val="left" w:pos="5475"/>
        </w:tabs>
        <w:spacing w:line="480" w:lineRule="auto"/>
        <w:jc w:val="center"/>
        <w:rPr>
          <w:rFonts w:ascii="Times New Roman" w:hAnsi="Times New Roman" w:cs="Times New Roman"/>
          <w:sz w:val="24"/>
          <w:szCs w:val="24"/>
        </w:rPr>
      </w:pPr>
      <w:r w:rsidRPr="00451AC0">
        <w:rPr>
          <w:rFonts w:ascii="Times New Roman" w:hAnsi="Times New Roman" w:cs="Times New Roman"/>
          <w:sz w:val="24"/>
          <w:szCs w:val="24"/>
        </w:rPr>
        <w:t>Turkey: European Union</w:t>
      </w:r>
    </w:p>
    <w:p w:rsidR="00B077B4" w:rsidRPr="00451AC0" w:rsidRDefault="00B077B4" w:rsidP="00451AC0">
      <w:pPr>
        <w:tabs>
          <w:tab w:val="left" w:pos="5475"/>
        </w:tabs>
        <w:spacing w:line="480" w:lineRule="auto"/>
        <w:jc w:val="center"/>
        <w:rPr>
          <w:rFonts w:ascii="Times New Roman" w:hAnsi="Times New Roman" w:cs="Times New Roman"/>
          <w:sz w:val="24"/>
          <w:szCs w:val="24"/>
        </w:rPr>
      </w:pPr>
      <w:r w:rsidRPr="00451AC0">
        <w:rPr>
          <w:rFonts w:ascii="Times New Roman" w:hAnsi="Times New Roman" w:cs="Times New Roman"/>
          <w:sz w:val="24"/>
          <w:szCs w:val="24"/>
        </w:rPr>
        <w:t>Name</w:t>
      </w:r>
    </w:p>
    <w:p w:rsidR="00B077B4" w:rsidRPr="00451AC0" w:rsidRDefault="00B077B4" w:rsidP="00451AC0">
      <w:pPr>
        <w:tabs>
          <w:tab w:val="left" w:pos="5475"/>
        </w:tabs>
        <w:spacing w:line="480" w:lineRule="auto"/>
        <w:jc w:val="center"/>
        <w:rPr>
          <w:rFonts w:ascii="Times New Roman" w:hAnsi="Times New Roman" w:cs="Times New Roman"/>
          <w:sz w:val="24"/>
          <w:szCs w:val="24"/>
        </w:rPr>
      </w:pPr>
      <w:r w:rsidRPr="00451AC0">
        <w:rPr>
          <w:rFonts w:ascii="Times New Roman" w:hAnsi="Times New Roman" w:cs="Times New Roman"/>
          <w:sz w:val="24"/>
          <w:szCs w:val="24"/>
        </w:rPr>
        <w:t>Instructor</w:t>
      </w:r>
    </w:p>
    <w:p w:rsidR="00B077B4" w:rsidRPr="00451AC0" w:rsidRDefault="00B077B4" w:rsidP="00451AC0">
      <w:pPr>
        <w:tabs>
          <w:tab w:val="left" w:pos="5475"/>
        </w:tabs>
        <w:spacing w:line="480" w:lineRule="auto"/>
        <w:jc w:val="center"/>
        <w:rPr>
          <w:rFonts w:ascii="Times New Roman" w:hAnsi="Times New Roman" w:cs="Times New Roman"/>
          <w:sz w:val="24"/>
          <w:szCs w:val="24"/>
        </w:rPr>
      </w:pPr>
      <w:r w:rsidRPr="00451AC0">
        <w:rPr>
          <w:rFonts w:ascii="Times New Roman" w:hAnsi="Times New Roman" w:cs="Times New Roman"/>
          <w:sz w:val="24"/>
          <w:szCs w:val="24"/>
        </w:rPr>
        <w:t>Course</w:t>
      </w:r>
    </w:p>
    <w:p w:rsidR="00B077B4" w:rsidRPr="00451AC0" w:rsidRDefault="00B077B4" w:rsidP="00451AC0">
      <w:pPr>
        <w:tabs>
          <w:tab w:val="left" w:pos="5475"/>
        </w:tabs>
        <w:spacing w:line="480" w:lineRule="auto"/>
        <w:jc w:val="center"/>
        <w:rPr>
          <w:rFonts w:ascii="Times New Roman" w:hAnsi="Times New Roman" w:cs="Times New Roman"/>
          <w:sz w:val="24"/>
          <w:szCs w:val="24"/>
        </w:rPr>
      </w:pPr>
      <w:r w:rsidRPr="00451AC0">
        <w:rPr>
          <w:rFonts w:ascii="Times New Roman" w:hAnsi="Times New Roman" w:cs="Times New Roman"/>
          <w:sz w:val="24"/>
          <w:szCs w:val="24"/>
        </w:rPr>
        <w:t>Date</w:t>
      </w:r>
    </w:p>
    <w:p w:rsidR="00B077B4" w:rsidRPr="00451AC0" w:rsidRDefault="00B077B4" w:rsidP="00451AC0">
      <w:pPr>
        <w:tabs>
          <w:tab w:val="left" w:pos="5475"/>
        </w:tabs>
        <w:spacing w:line="480" w:lineRule="auto"/>
        <w:jc w:val="center"/>
        <w:rPr>
          <w:rFonts w:ascii="Times New Roman" w:hAnsi="Times New Roman" w:cs="Times New Roman"/>
          <w:sz w:val="24"/>
          <w:szCs w:val="24"/>
        </w:rPr>
      </w:pPr>
    </w:p>
    <w:p w:rsidR="00B077B4" w:rsidRPr="00451AC0" w:rsidRDefault="00B077B4" w:rsidP="00451AC0">
      <w:pPr>
        <w:tabs>
          <w:tab w:val="left" w:pos="5475"/>
        </w:tabs>
        <w:spacing w:line="480" w:lineRule="auto"/>
        <w:jc w:val="center"/>
        <w:rPr>
          <w:rFonts w:ascii="Times New Roman" w:hAnsi="Times New Roman" w:cs="Times New Roman"/>
          <w:sz w:val="24"/>
          <w:szCs w:val="24"/>
        </w:rPr>
      </w:pPr>
    </w:p>
    <w:p w:rsidR="00B077B4" w:rsidRPr="00451AC0" w:rsidRDefault="00B077B4" w:rsidP="00451AC0">
      <w:pPr>
        <w:tabs>
          <w:tab w:val="left" w:pos="5475"/>
        </w:tabs>
        <w:spacing w:line="480" w:lineRule="auto"/>
        <w:jc w:val="center"/>
        <w:rPr>
          <w:rFonts w:ascii="Times New Roman" w:hAnsi="Times New Roman" w:cs="Times New Roman"/>
          <w:sz w:val="24"/>
          <w:szCs w:val="24"/>
        </w:rPr>
      </w:pPr>
    </w:p>
    <w:p w:rsidR="00B077B4" w:rsidRPr="00451AC0" w:rsidRDefault="00B077B4" w:rsidP="00451AC0">
      <w:pPr>
        <w:tabs>
          <w:tab w:val="left" w:pos="5475"/>
        </w:tabs>
        <w:spacing w:line="480" w:lineRule="auto"/>
        <w:jc w:val="center"/>
        <w:rPr>
          <w:rFonts w:ascii="Times New Roman" w:hAnsi="Times New Roman" w:cs="Times New Roman"/>
          <w:sz w:val="24"/>
          <w:szCs w:val="24"/>
        </w:rPr>
      </w:pPr>
    </w:p>
    <w:p w:rsidR="00B077B4" w:rsidRPr="00451AC0" w:rsidRDefault="00B077B4" w:rsidP="00451AC0">
      <w:pPr>
        <w:tabs>
          <w:tab w:val="left" w:pos="5475"/>
        </w:tabs>
        <w:spacing w:line="480" w:lineRule="auto"/>
        <w:jc w:val="center"/>
        <w:rPr>
          <w:rFonts w:ascii="Times New Roman" w:hAnsi="Times New Roman" w:cs="Times New Roman"/>
          <w:sz w:val="24"/>
          <w:szCs w:val="24"/>
        </w:rPr>
      </w:pPr>
    </w:p>
    <w:p w:rsidR="00B077B4" w:rsidRPr="00451AC0" w:rsidRDefault="00B077B4" w:rsidP="00451AC0">
      <w:pPr>
        <w:tabs>
          <w:tab w:val="left" w:pos="5475"/>
        </w:tabs>
        <w:spacing w:line="480" w:lineRule="auto"/>
        <w:rPr>
          <w:rFonts w:ascii="Times New Roman" w:hAnsi="Times New Roman" w:cs="Times New Roman"/>
          <w:sz w:val="24"/>
          <w:szCs w:val="24"/>
        </w:rPr>
      </w:pPr>
    </w:p>
    <w:p w:rsidR="00A3617A" w:rsidRPr="00451AC0" w:rsidRDefault="00451AC0" w:rsidP="00451AC0">
      <w:pPr>
        <w:pStyle w:val="NoSpacing"/>
        <w:spacing w:line="480" w:lineRule="auto"/>
        <w:rPr>
          <w:rFonts w:ascii="Times New Roman" w:hAnsi="Times New Roman" w:cs="Times New Roman"/>
          <w:sz w:val="24"/>
          <w:szCs w:val="24"/>
        </w:rPr>
      </w:pPr>
      <w:r>
        <w:rPr>
          <w:rFonts w:ascii="Times New Roman" w:hAnsi="Times New Roman" w:cs="Times New Roman"/>
          <w:sz w:val="24"/>
          <w:szCs w:val="24"/>
        </w:rPr>
        <w:lastRenderedPageBreak/>
        <w:tab/>
      </w:r>
      <w:r w:rsidR="00A3617A" w:rsidRPr="00451AC0">
        <w:rPr>
          <w:rFonts w:ascii="Times New Roman" w:hAnsi="Times New Roman" w:cs="Times New Roman"/>
          <w:sz w:val="24"/>
          <w:szCs w:val="24"/>
        </w:rPr>
        <w:t>Turkey will make some essential currency considerations after its commitments to join the European Union. Turkey can opt to maintain its lira currency and trade with it in the European Union just like the case with Denmark and United Kingdom who chose to make transactions with their free coins</w:t>
      </w:r>
      <w:r w:rsidR="00E44E3F" w:rsidRPr="00451AC0">
        <w:rPr>
          <w:rFonts w:ascii="Times New Roman" w:hAnsi="Times New Roman" w:cs="Times New Roman"/>
          <w:sz w:val="24"/>
          <w:szCs w:val="24"/>
        </w:rPr>
        <w:t xml:space="preserve"> (Harrison et al, 2014)</w:t>
      </w:r>
      <w:r w:rsidR="00A3617A" w:rsidRPr="00451AC0">
        <w:rPr>
          <w:rFonts w:ascii="Times New Roman" w:hAnsi="Times New Roman" w:cs="Times New Roman"/>
          <w:sz w:val="24"/>
          <w:szCs w:val="24"/>
        </w:rPr>
        <w:t>. Turkey can, therefore, follow suit and opt out of the European Union’s treaties and maintain its sovereign currency for trade.</w:t>
      </w:r>
      <w:r>
        <w:rPr>
          <w:rFonts w:ascii="Times New Roman" w:hAnsi="Times New Roman" w:cs="Times New Roman"/>
          <w:sz w:val="24"/>
          <w:szCs w:val="24"/>
        </w:rPr>
        <w:t xml:space="preserve"> </w:t>
      </w:r>
      <w:r w:rsidR="00A3617A" w:rsidRPr="00451AC0">
        <w:rPr>
          <w:rFonts w:ascii="Times New Roman" w:hAnsi="Times New Roman" w:cs="Times New Roman"/>
          <w:sz w:val="24"/>
          <w:szCs w:val="24"/>
        </w:rPr>
        <w:t xml:space="preserve">Furthermore, Turkey, on the other hand, can decide to use euro currency and discard lira. The majority of the countries in the EU uses euro which is the union’s economic and monetary project. The idea of adopting euro is excellent as Turkey is not bound to embrace it. In fact, from a recent research conducted, the use of euro in Northern Cyprus is in high practice. Therefore, Turkey can make such considerations and deem it fit to do away with Turkish lira (TL) and instead incorporate euro in its economy. The adoption of euro in Turkey may be received with fewer objections from its citizens as a significant percent of the population in Northern Cyprus have already incorporated it in their </w:t>
      </w:r>
      <w:r w:rsidR="00DB733D" w:rsidRPr="00451AC0">
        <w:rPr>
          <w:rFonts w:ascii="Times New Roman" w:hAnsi="Times New Roman" w:cs="Times New Roman"/>
          <w:sz w:val="24"/>
          <w:szCs w:val="24"/>
        </w:rPr>
        <w:t>businesses</w:t>
      </w:r>
      <w:r w:rsidR="00E44E3F" w:rsidRPr="00451AC0">
        <w:rPr>
          <w:rFonts w:ascii="Times New Roman" w:hAnsi="Times New Roman" w:cs="Times New Roman"/>
          <w:sz w:val="24"/>
          <w:szCs w:val="24"/>
        </w:rPr>
        <w:t xml:space="preserve"> (</w:t>
      </w:r>
      <w:r w:rsidR="00E44E3F" w:rsidRPr="00451AC0">
        <w:rPr>
          <w:rFonts w:ascii="Times New Roman" w:eastAsia="Times New Roman" w:hAnsi="Times New Roman" w:cs="Times New Roman"/>
          <w:sz w:val="24"/>
          <w:szCs w:val="24"/>
        </w:rPr>
        <w:t>Wallace et al, 2015)</w:t>
      </w:r>
      <w:r w:rsidR="00DB733D" w:rsidRPr="00451AC0">
        <w:rPr>
          <w:rFonts w:ascii="Times New Roman" w:hAnsi="Times New Roman" w:cs="Times New Roman"/>
          <w:sz w:val="24"/>
          <w:szCs w:val="24"/>
        </w:rPr>
        <w:t>. Therefore</w:t>
      </w:r>
      <w:r w:rsidR="00A3617A" w:rsidRPr="00451AC0">
        <w:rPr>
          <w:rFonts w:ascii="Times New Roman" w:hAnsi="Times New Roman" w:cs="Times New Roman"/>
          <w:sz w:val="24"/>
          <w:szCs w:val="24"/>
        </w:rPr>
        <w:t>, before the Turkish government aims to tale euro as its primary currency, it needs to consider the applicability of the money to its citizens.</w:t>
      </w:r>
    </w:p>
    <w:p w:rsidR="00A3617A" w:rsidRPr="00451AC0" w:rsidRDefault="00451AC0" w:rsidP="00451AC0">
      <w:pPr>
        <w:pStyle w:val="NoSpacing"/>
        <w:spacing w:line="480" w:lineRule="auto"/>
        <w:rPr>
          <w:rFonts w:ascii="Times New Roman" w:hAnsi="Times New Roman" w:cs="Times New Roman"/>
          <w:sz w:val="24"/>
          <w:szCs w:val="24"/>
        </w:rPr>
      </w:pPr>
      <w:r>
        <w:rPr>
          <w:rFonts w:ascii="Times New Roman" w:hAnsi="Times New Roman" w:cs="Times New Roman"/>
          <w:sz w:val="24"/>
          <w:szCs w:val="24"/>
        </w:rPr>
        <w:tab/>
      </w:r>
      <w:r w:rsidR="00A3617A" w:rsidRPr="00451AC0">
        <w:rPr>
          <w:rFonts w:ascii="Times New Roman" w:hAnsi="Times New Roman" w:cs="Times New Roman"/>
          <w:sz w:val="24"/>
          <w:szCs w:val="24"/>
        </w:rPr>
        <w:t>Also, the fact that euro is being used widely even by states that do not belong to the EU, Turkey will be compelled to take the same as its currency. In so doing, Turkey may experience a boost in collective bargaining power within the member states of the EU and others countries for various economic deals. Turkey may consider the ease in transactions as a benefit of adopting euro and go ahead in taking up the currency in its territories.</w:t>
      </w:r>
      <w:r>
        <w:rPr>
          <w:rFonts w:ascii="Times New Roman" w:hAnsi="Times New Roman" w:cs="Times New Roman"/>
          <w:sz w:val="24"/>
          <w:szCs w:val="24"/>
        </w:rPr>
        <w:t xml:space="preserve"> </w:t>
      </w:r>
      <w:r w:rsidR="00A3617A" w:rsidRPr="00451AC0">
        <w:rPr>
          <w:rFonts w:ascii="Times New Roman" w:hAnsi="Times New Roman" w:cs="Times New Roman"/>
          <w:sz w:val="24"/>
          <w:szCs w:val="24"/>
        </w:rPr>
        <w:t>There is a significant number of issues that arise if Turkey commits herself to euro as a currency</w:t>
      </w:r>
      <w:r w:rsidR="00495EB8" w:rsidRPr="00495EB8">
        <w:rPr>
          <w:rFonts w:ascii="Times New Roman" w:eastAsia="Times New Roman" w:hAnsi="Times New Roman" w:cs="Times New Roman"/>
          <w:sz w:val="24"/>
          <w:szCs w:val="24"/>
        </w:rPr>
        <w:t xml:space="preserve"> </w:t>
      </w:r>
      <w:r w:rsidR="00495EB8">
        <w:rPr>
          <w:rFonts w:ascii="Times New Roman" w:eastAsia="Times New Roman" w:hAnsi="Times New Roman" w:cs="Times New Roman"/>
          <w:sz w:val="24"/>
          <w:szCs w:val="24"/>
        </w:rPr>
        <w:t>(</w:t>
      </w:r>
      <w:r w:rsidR="00495EB8" w:rsidRPr="00451AC0">
        <w:rPr>
          <w:rFonts w:ascii="Times New Roman" w:eastAsia="Times New Roman" w:hAnsi="Times New Roman" w:cs="Times New Roman"/>
          <w:sz w:val="24"/>
          <w:szCs w:val="24"/>
        </w:rPr>
        <w:t xml:space="preserve">Harrison, </w:t>
      </w:r>
      <w:r w:rsidR="00495EB8">
        <w:rPr>
          <w:rFonts w:ascii="Times New Roman" w:eastAsia="Times New Roman" w:hAnsi="Times New Roman" w:cs="Times New Roman"/>
          <w:sz w:val="24"/>
          <w:szCs w:val="24"/>
        </w:rPr>
        <w:t>Rutherford</w:t>
      </w:r>
      <w:r w:rsidR="00495EB8" w:rsidRPr="00451AC0">
        <w:rPr>
          <w:rFonts w:ascii="Times New Roman" w:eastAsia="Times New Roman" w:hAnsi="Times New Roman" w:cs="Times New Roman"/>
          <w:sz w:val="24"/>
          <w:szCs w:val="24"/>
        </w:rPr>
        <w:t>, &amp;Tarr</w:t>
      </w:r>
      <w:r w:rsidR="00495EB8">
        <w:rPr>
          <w:rFonts w:ascii="Times New Roman" w:eastAsia="Times New Roman" w:hAnsi="Times New Roman" w:cs="Times New Roman"/>
          <w:sz w:val="24"/>
          <w:szCs w:val="24"/>
        </w:rPr>
        <w:t xml:space="preserve"> 2014)</w:t>
      </w:r>
      <w:r w:rsidR="00A3617A" w:rsidRPr="00451AC0">
        <w:rPr>
          <w:rFonts w:ascii="Times New Roman" w:hAnsi="Times New Roman" w:cs="Times New Roman"/>
          <w:sz w:val="24"/>
          <w:szCs w:val="24"/>
        </w:rPr>
        <w:t>. These matters range from currency, inflation, interest and trade issues. To bring out these problems in a precise way, consider one point at a time.</w:t>
      </w:r>
    </w:p>
    <w:p w:rsidR="00A3617A" w:rsidRPr="00451AC0" w:rsidRDefault="00451AC0" w:rsidP="00451AC0">
      <w:pPr>
        <w:pStyle w:val="NoSpacing"/>
        <w:spacing w:line="480" w:lineRule="auto"/>
        <w:rPr>
          <w:rFonts w:ascii="Times New Roman" w:hAnsi="Times New Roman" w:cs="Times New Roman"/>
          <w:sz w:val="24"/>
          <w:szCs w:val="24"/>
        </w:rPr>
      </w:pPr>
      <w:r>
        <w:rPr>
          <w:rFonts w:ascii="Times New Roman" w:hAnsi="Times New Roman" w:cs="Times New Roman"/>
          <w:sz w:val="24"/>
          <w:szCs w:val="24"/>
        </w:rPr>
        <w:lastRenderedPageBreak/>
        <w:tab/>
      </w:r>
      <w:r w:rsidR="00A3617A" w:rsidRPr="00451AC0">
        <w:rPr>
          <w:rFonts w:ascii="Times New Roman" w:hAnsi="Times New Roman" w:cs="Times New Roman"/>
          <w:sz w:val="24"/>
          <w:szCs w:val="24"/>
        </w:rPr>
        <w:t>First, if Turkey commits herself to euro, then the state would be in a better place to negotiate financial deals with other countries using the same currency. These countries may not necessarily be members of the European Union. Since a large number of states in Europe have adopted the use of euro as a currency, Turkey will have an advantage in bargaining power if she commits herself in euro</w:t>
      </w:r>
      <w:r w:rsidR="001778E7">
        <w:rPr>
          <w:rFonts w:ascii="Times New Roman" w:hAnsi="Times New Roman" w:cs="Times New Roman"/>
          <w:sz w:val="24"/>
          <w:szCs w:val="24"/>
        </w:rPr>
        <w:t xml:space="preserve"> </w:t>
      </w:r>
      <w:r w:rsidR="00E44E3F" w:rsidRPr="00451AC0">
        <w:rPr>
          <w:rFonts w:ascii="Times New Roman" w:eastAsia="Times New Roman" w:hAnsi="Times New Roman" w:cs="Times New Roman"/>
          <w:sz w:val="24"/>
          <w:szCs w:val="24"/>
        </w:rPr>
        <w:t>(Eichengreen, 2010).</w:t>
      </w:r>
      <w:r w:rsidR="00A3617A" w:rsidRPr="00451AC0">
        <w:rPr>
          <w:rFonts w:ascii="Times New Roman" w:hAnsi="Times New Roman" w:cs="Times New Roman"/>
          <w:sz w:val="24"/>
          <w:szCs w:val="24"/>
        </w:rPr>
        <w:t xml:space="preserve"> Although there is a substantial number of challenges that may rock the state when changing the currency, the merits that will accrue to the lands upon the transition are irrational.</w:t>
      </w:r>
      <w:r>
        <w:rPr>
          <w:rFonts w:ascii="Times New Roman" w:hAnsi="Times New Roman" w:cs="Times New Roman"/>
          <w:sz w:val="24"/>
          <w:szCs w:val="24"/>
        </w:rPr>
        <w:t xml:space="preserve"> </w:t>
      </w:r>
      <w:r w:rsidR="00A3617A" w:rsidRPr="00451AC0">
        <w:rPr>
          <w:rFonts w:ascii="Times New Roman" w:hAnsi="Times New Roman" w:cs="Times New Roman"/>
          <w:sz w:val="24"/>
          <w:szCs w:val="24"/>
        </w:rPr>
        <w:t>However, there is the likelihood of emergence of trading issues if Turkey gets committed to using euros. There are some countries like Austria which are members states of the EU that Turkey believes that they have been the stumbling block in their quest for accession to EU. From a general point of view, such countries will end up administering tariffs, bottlenecks and trade barriers to Turkey if the state goes ahead in committing herself to use the euros as their means of exchange. Trade barriers imposed by such countries may hurt Turkish economy, and thus the state may find it not necessary to adopt the currency.</w:t>
      </w:r>
    </w:p>
    <w:p w:rsidR="00A3617A" w:rsidRPr="00451AC0" w:rsidRDefault="00451AC0" w:rsidP="00451AC0">
      <w:pPr>
        <w:spacing w:line="480" w:lineRule="auto"/>
        <w:rPr>
          <w:rFonts w:ascii="Times New Roman" w:hAnsi="Times New Roman" w:cs="Times New Roman"/>
          <w:sz w:val="24"/>
          <w:szCs w:val="24"/>
        </w:rPr>
      </w:pPr>
      <w:r>
        <w:rPr>
          <w:rFonts w:ascii="Times New Roman" w:hAnsi="Times New Roman" w:cs="Times New Roman"/>
          <w:sz w:val="24"/>
          <w:szCs w:val="24"/>
        </w:rPr>
        <w:tab/>
      </w:r>
      <w:r w:rsidR="00A3617A" w:rsidRPr="00451AC0">
        <w:rPr>
          <w:rFonts w:ascii="Times New Roman" w:hAnsi="Times New Roman" w:cs="Times New Roman"/>
          <w:sz w:val="24"/>
          <w:szCs w:val="24"/>
        </w:rPr>
        <w:t>Moreover, the value of lira may depreciate if Turkey embraces euros. The economy in Turkey largely depends on the international financial markets, and thus any policy action that may be inconsistent or incoherent may have a severe effect on the same. Consequently, the interest rates increases and this is a threat to the stability of the macroeconomics. High-interest levels are a factor that no citizen would like to hear about because it leaves them with less money to spend. Therefore</w:t>
      </w:r>
      <w:r w:rsidR="001778E7">
        <w:rPr>
          <w:rFonts w:ascii="Times New Roman" w:hAnsi="Times New Roman" w:cs="Times New Roman"/>
          <w:sz w:val="24"/>
          <w:szCs w:val="24"/>
        </w:rPr>
        <w:t>,</w:t>
      </w:r>
      <w:r w:rsidR="00A3617A" w:rsidRPr="00451AC0">
        <w:rPr>
          <w:rFonts w:ascii="Times New Roman" w:hAnsi="Times New Roman" w:cs="Times New Roman"/>
          <w:sz w:val="24"/>
          <w:szCs w:val="24"/>
        </w:rPr>
        <w:t xml:space="preserve"> the Turkish citizens will find it difficult to bear in a situation where they feel oppressed because of a change in the currency</w:t>
      </w:r>
      <w:r w:rsidR="00495EB8" w:rsidRPr="00495EB8">
        <w:rPr>
          <w:rFonts w:ascii="Times New Roman" w:eastAsia="Times New Roman" w:hAnsi="Times New Roman" w:cs="Times New Roman"/>
          <w:sz w:val="24"/>
          <w:szCs w:val="24"/>
        </w:rPr>
        <w:t xml:space="preserve"> </w:t>
      </w:r>
      <w:r w:rsidR="00495EB8">
        <w:rPr>
          <w:rFonts w:ascii="Times New Roman" w:eastAsia="Times New Roman" w:hAnsi="Times New Roman" w:cs="Times New Roman"/>
          <w:sz w:val="24"/>
          <w:szCs w:val="24"/>
        </w:rPr>
        <w:t>(</w:t>
      </w:r>
      <w:r w:rsidR="00495EB8" w:rsidRPr="00451AC0">
        <w:rPr>
          <w:rFonts w:ascii="Times New Roman" w:eastAsia="Times New Roman" w:hAnsi="Times New Roman" w:cs="Times New Roman"/>
          <w:sz w:val="24"/>
          <w:szCs w:val="24"/>
        </w:rPr>
        <w:t>Alessandri,</w:t>
      </w:r>
      <w:r w:rsidR="00495EB8">
        <w:rPr>
          <w:rFonts w:ascii="Times New Roman" w:eastAsia="Times New Roman" w:hAnsi="Times New Roman" w:cs="Times New Roman"/>
          <w:sz w:val="24"/>
          <w:szCs w:val="24"/>
        </w:rPr>
        <w:t xml:space="preserve"> 2010)</w:t>
      </w:r>
      <w:r w:rsidR="00A3617A" w:rsidRPr="00451AC0">
        <w:rPr>
          <w:rFonts w:ascii="Times New Roman" w:hAnsi="Times New Roman" w:cs="Times New Roman"/>
          <w:sz w:val="24"/>
          <w:szCs w:val="24"/>
        </w:rPr>
        <w:t>. They would rather stay comfortable with their stable money than the euro whose value may not be equivalent to the lira.</w:t>
      </w:r>
      <w:r>
        <w:rPr>
          <w:rFonts w:ascii="Times New Roman" w:hAnsi="Times New Roman" w:cs="Times New Roman"/>
          <w:sz w:val="24"/>
          <w:szCs w:val="24"/>
        </w:rPr>
        <w:t xml:space="preserve"> T</w:t>
      </w:r>
      <w:r w:rsidR="00A3617A" w:rsidRPr="00451AC0">
        <w:rPr>
          <w:rFonts w:ascii="Times New Roman" w:hAnsi="Times New Roman" w:cs="Times New Roman"/>
          <w:sz w:val="24"/>
          <w:szCs w:val="24"/>
        </w:rPr>
        <w:t xml:space="preserve">he change in the monetary system will make the lira currency to lose value, and this amounts to </w:t>
      </w:r>
      <w:r w:rsidR="00A3617A" w:rsidRPr="00451AC0">
        <w:rPr>
          <w:rFonts w:ascii="Times New Roman" w:hAnsi="Times New Roman" w:cs="Times New Roman"/>
          <w:sz w:val="24"/>
          <w:szCs w:val="24"/>
        </w:rPr>
        <w:lastRenderedPageBreak/>
        <w:t>inflation. A high rate of inflation has a severe aftermath on the country’s economy and on the exchange rates that a nation maintains with other nations. In this case, Turkey may experience unforeseen and extreme inflation rates which are catastrophic as they are a hindrance to foreign investment in the country. Consequently, slow economic growth rate becomes the order of the day in the state.</w:t>
      </w:r>
      <w:r w:rsidR="00FC53CF" w:rsidRPr="00451AC0">
        <w:rPr>
          <w:rFonts w:ascii="Times New Roman" w:hAnsi="Times New Roman" w:cs="Times New Roman"/>
          <w:sz w:val="24"/>
          <w:szCs w:val="24"/>
        </w:rPr>
        <w:tab/>
      </w:r>
    </w:p>
    <w:p w:rsidR="00A3617A" w:rsidRPr="00451AC0" w:rsidRDefault="00451AC0" w:rsidP="00451AC0">
      <w:pPr>
        <w:spacing w:line="480" w:lineRule="auto"/>
        <w:rPr>
          <w:rFonts w:ascii="Times New Roman" w:hAnsi="Times New Roman" w:cs="Times New Roman"/>
          <w:sz w:val="24"/>
          <w:szCs w:val="24"/>
        </w:rPr>
      </w:pPr>
      <w:r>
        <w:rPr>
          <w:rFonts w:ascii="Times New Roman" w:hAnsi="Times New Roman" w:cs="Times New Roman"/>
          <w:sz w:val="24"/>
          <w:szCs w:val="24"/>
        </w:rPr>
        <w:tab/>
      </w:r>
      <w:r w:rsidR="00A3617A" w:rsidRPr="00451AC0">
        <w:rPr>
          <w:rFonts w:ascii="Times New Roman" w:hAnsi="Times New Roman" w:cs="Times New Roman"/>
          <w:sz w:val="24"/>
          <w:szCs w:val="24"/>
        </w:rPr>
        <w:t>Other qualitative issues related to the Turkish accession to the European Union are like the geopolitical dimension of the state. Geopolitical size refers to the strategic location of a nation and how that position contributes to the various parameters of interest for that country. Turkey neighbors by Balkans, Asia, Middle East and the Eastern Mediterranean which all forms crucial energy supplies for Europe. Turkey has sufficient water resources, and its economic and demographic factors make the state an extraordinary actor. Since the country is a member of many regional and commercial organizations, it contributes significantly to the security of Europe. Therefore, the accession of Turkey to the EU would require taking into account several considerations. Some of these proposals include the foreign policies implications, how Turkey relates to her neighbors, international issues, international relations, European security policies and domestic factors that affect the Turkish external systems</w:t>
      </w:r>
      <w:r w:rsidR="001778E7">
        <w:rPr>
          <w:rFonts w:ascii="Times New Roman" w:hAnsi="Times New Roman" w:cs="Times New Roman"/>
          <w:sz w:val="24"/>
          <w:szCs w:val="24"/>
        </w:rPr>
        <w:t xml:space="preserve"> </w:t>
      </w:r>
      <w:r w:rsidR="00E44E3F" w:rsidRPr="00451AC0">
        <w:rPr>
          <w:rFonts w:ascii="Times New Roman" w:eastAsia="Times New Roman" w:hAnsi="Times New Roman" w:cs="Times New Roman"/>
          <w:sz w:val="24"/>
          <w:szCs w:val="24"/>
        </w:rPr>
        <w:t>(Gerhards and Hans, 2011)</w:t>
      </w:r>
      <w:r w:rsidR="00A3617A" w:rsidRPr="00451AC0">
        <w:rPr>
          <w:rFonts w:ascii="Times New Roman" w:hAnsi="Times New Roman" w:cs="Times New Roman"/>
          <w:sz w:val="24"/>
          <w:szCs w:val="24"/>
        </w:rPr>
        <w:t>. The scrutiny of these problems have in one way, or another delayed the Turkey accession to the European Union.</w:t>
      </w:r>
    </w:p>
    <w:p w:rsidR="00A3617A" w:rsidRPr="00451AC0" w:rsidRDefault="00451AC0" w:rsidP="00451AC0">
      <w:pPr>
        <w:spacing w:line="480" w:lineRule="auto"/>
        <w:rPr>
          <w:rFonts w:ascii="Times New Roman" w:hAnsi="Times New Roman" w:cs="Times New Roman"/>
          <w:sz w:val="24"/>
          <w:szCs w:val="24"/>
        </w:rPr>
      </w:pPr>
      <w:r>
        <w:rPr>
          <w:rFonts w:ascii="Times New Roman" w:hAnsi="Times New Roman" w:cs="Times New Roman"/>
          <w:sz w:val="24"/>
          <w:szCs w:val="24"/>
        </w:rPr>
        <w:tab/>
      </w:r>
      <w:r w:rsidR="00A3617A" w:rsidRPr="00451AC0">
        <w:rPr>
          <w:rFonts w:ascii="Times New Roman" w:hAnsi="Times New Roman" w:cs="Times New Roman"/>
          <w:sz w:val="24"/>
          <w:szCs w:val="24"/>
        </w:rPr>
        <w:t>Moreover, apart from the economic issues mentioned here relating to the accession of Turkey to EU, internal markets, and related policies is a significant factor of concern. Turkey is party to the Ankara Agreement that whose primary goal is to control the free circulation of industrial goods, ownership of industrial property rights, and development of a standard competition policy and the adoption of a standard external tariff</w:t>
      </w:r>
      <w:r w:rsidR="00495EB8">
        <w:rPr>
          <w:rFonts w:ascii="Times New Roman" w:hAnsi="Times New Roman" w:cs="Times New Roman"/>
          <w:sz w:val="24"/>
          <w:szCs w:val="24"/>
        </w:rPr>
        <w:t xml:space="preserve"> </w:t>
      </w:r>
      <w:r w:rsidR="00495EB8" w:rsidRPr="00451AC0">
        <w:rPr>
          <w:rFonts w:ascii="Times New Roman" w:hAnsi="Times New Roman" w:cs="Times New Roman"/>
          <w:sz w:val="24"/>
          <w:szCs w:val="24"/>
        </w:rPr>
        <w:t>(Harrison</w:t>
      </w:r>
      <w:r w:rsidR="00495EB8">
        <w:rPr>
          <w:rFonts w:ascii="Times New Roman" w:hAnsi="Times New Roman" w:cs="Times New Roman"/>
          <w:sz w:val="24"/>
          <w:szCs w:val="24"/>
        </w:rPr>
        <w:t xml:space="preserve"> 2014)</w:t>
      </w:r>
      <w:r w:rsidR="00A3617A" w:rsidRPr="00451AC0">
        <w:rPr>
          <w:rFonts w:ascii="Times New Roman" w:hAnsi="Times New Roman" w:cs="Times New Roman"/>
          <w:sz w:val="24"/>
          <w:szCs w:val="24"/>
        </w:rPr>
        <w:t xml:space="preserve">. Through the </w:t>
      </w:r>
      <w:r w:rsidR="00A3617A" w:rsidRPr="00451AC0">
        <w:rPr>
          <w:rFonts w:ascii="Times New Roman" w:hAnsi="Times New Roman" w:cs="Times New Roman"/>
          <w:sz w:val="24"/>
          <w:szCs w:val="24"/>
        </w:rPr>
        <w:lastRenderedPageBreak/>
        <w:t>Customs</w:t>
      </w:r>
      <w:r w:rsidR="00B077B4" w:rsidRPr="00451AC0">
        <w:rPr>
          <w:rFonts w:ascii="Times New Roman" w:hAnsi="Times New Roman" w:cs="Times New Roman"/>
          <w:sz w:val="24"/>
          <w:szCs w:val="24"/>
        </w:rPr>
        <w:t xml:space="preserve"> Union, there has not been free </w:t>
      </w:r>
      <w:r w:rsidR="00537899" w:rsidRPr="00451AC0">
        <w:rPr>
          <w:rFonts w:ascii="Times New Roman" w:hAnsi="Times New Roman" w:cs="Times New Roman"/>
          <w:sz w:val="24"/>
          <w:szCs w:val="24"/>
        </w:rPr>
        <w:t>movement</w:t>
      </w:r>
      <w:r w:rsidR="00A3617A" w:rsidRPr="00451AC0">
        <w:rPr>
          <w:rFonts w:ascii="Times New Roman" w:hAnsi="Times New Roman" w:cs="Times New Roman"/>
          <w:sz w:val="24"/>
          <w:szCs w:val="24"/>
        </w:rPr>
        <w:t xml:space="preserve"> of workers and freedom to provide services as was stipulated in the Ankara Agreement. The free movement of goods and the free movement of capital have also been </w:t>
      </w:r>
      <w:r w:rsidR="00DB733D" w:rsidRPr="00451AC0">
        <w:rPr>
          <w:rFonts w:ascii="Times New Roman" w:hAnsi="Times New Roman" w:cs="Times New Roman"/>
          <w:sz w:val="24"/>
          <w:szCs w:val="24"/>
        </w:rPr>
        <w:t>curtailed. It</w:t>
      </w:r>
      <w:r w:rsidR="00A3617A" w:rsidRPr="00451AC0">
        <w:rPr>
          <w:rFonts w:ascii="Times New Roman" w:hAnsi="Times New Roman" w:cs="Times New Roman"/>
          <w:sz w:val="24"/>
          <w:szCs w:val="24"/>
        </w:rPr>
        <w:t xml:space="preserve"> is from these considerations that member states of the EU may feel that Turkey ought not to be party to their economic policies.</w:t>
      </w:r>
    </w:p>
    <w:p w:rsidR="00A3617A" w:rsidRPr="00451AC0" w:rsidRDefault="00451AC0" w:rsidP="00451AC0">
      <w:pPr>
        <w:spacing w:line="480" w:lineRule="auto"/>
        <w:rPr>
          <w:rFonts w:ascii="Times New Roman" w:hAnsi="Times New Roman" w:cs="Times New Roman"/>
          <w:sz w:val="24"/>
          <w:szCs w:val="24"/>
        </w:rPr>
      </w:pPr>
      <w:r>
        <w:rPr>
          <w:rFonts w:ascii="Times New Roman" w:hAnsi="Times New Roman" w:cs="Times New Roman"/>
          <w:sz w:val="24"/>
          <w:szCs w:val="24"/>
        </w:rPr>
        <w:tab/>
        <w:t>The</w:t>
      </w:r>
      <w:r w:rsidR="00A3617A" w:rsidRPr="00451AC0">
        <w:rPr>
          <w:rFonts w:ascii="Times New Roman" w:hAnsi="Times New Roman" w:cs="Times New Roman"/>
          <w:sz w:val="24"/>
          <w:szCs w:val="24"/>
        </w:rPr>
        <w:t xml:space="preserve"> regional and structural policies is a parameter to be determined and considered in Turkish accession. Taking into account the size and the economic features of Turkey, the implications of Turkish accession to the European Union for structural policies are seem to be significant. However, it is cumbersome to evaluate the consequences of the economic development is not satisfied. Therefore, any numerical assessment on the impact would only be speculative and misleading</w:t>
      </w:r>
      <w:r w:rsidR="001778E7">
        <w:rPr>
          <w:rFonts w:ascii="Times New Roman" w:hAnsi="Times New Roman" w:cs="Times New Roman"/>
          <w:sz w:val="24"/>
          <w:szCs w:val="24"/>
        </w:rPr>
        <w:t xml:space="preserve"> </w:t>
      </w:r>
      <w:r w:rsidR="00205391" w:rsidRPr="00451AC0">
        <w:rPr>
          <w:rFonts w:ascii="Times New Roman" w:eastAsia="Times New Roman" w:hAnsi="Times New Roman" w:cs="Times New Roman"/>
          <w:sz w:val="24"/>
          <w:szCs w:val="24"/>
        </w:rPr>
        <w:t>(Gerhards and Hans, 2011)</w:t>
      </w:r>
      <w:r w:rsidR="00A3617A" w:rsidRPr="00451AC0">
        <w:rPr>
          <w:rFonts w:ascii="Times New Roman" w:hAnsi="Times New Roman" w:cs="Times New Roman"/>
          <w:sz w:val="24"/>
          <w:szCs w:val="24"/>
        </w:rPr>
        <w:t>.</w:t>
      </w:r>
    </w:p>
    <w:p w:rsidR="00537899" w:rsidRPr="00451AC0" w:rsidRDefault="00451AC0" w:rsidP="00451AC0">
      <w:pPr>
        <w:spacing w:line="480" w:lineRule="auto"/>
        <w:rPr>
          <w:rFonts w:ascii="Times New Roman" w:hAnsi="Times New Roman" w:cs="Times New Roman"/>
          <w:sz w:val="24"/>
          <w:szCs w:val="24"/>
        </w:rPr>
      </w:pPr>
      <w:r>
        <w:rPr>
          <w:rFonts w:ascii="Times New Roman" w:hAnsi="Times New Roman" w:cs="Times New Roman"/>
          <w:sz w:val="24"/>
          <w:szCs w:val="24"/>
        </w:rPr>
        <w:tab/>
      </w:r>
      <w:r w:rsidR="00A3617A" w:rsidRPr="00451AC0">
        <w:rPr>
          <w:rFonts w:ascii="Times New Roman" w:hAnsi="Times New Roman" w:cs="Times New Roman"/>
          <w:sz w:val="24"/>
          <w:szCs w:val="24"/>
        </w:rPr>
        <w:t>Also, justice and home affairs is a trivial issue for Turkish accession to the EU. European integration has been deeply entrenched, and it aims in ensuring freedom related to human rights, democratic institutions and adherence to the rule of law. Through confidence by the member states, they can arrive at freedom, justice, and security</w:t>
      </w:r>
      <w:r w:rsidR="00495EB8" w:rsidRPr="00495EB8">
        <w:rPr>
          <w:rFonts w:ascii="Times New Roman" w:eastAsia="Times New Roman" w:hAnsi="Times New Roman" w:cs="Times New Roman"/>
          <w:sz w:val="24"/>
          <w:szCs w:val="24"/>
        </w:rPr>
        <w:t xml:space="preserve"> </w:t>
      </w:r>
      <w:r w:rsidR="00495EB8">
        <w:rPr>
          <w:rFonts w:ascii="Times New Roman" w:eastAsia="Times New Roman" w:hAnsi="Times New Roman" w:cs="Times New Roman"/>
          <w:sz w:val="24"/>
          <w:szCs w:val="24"/>
        </w:rPr>
        <w:t>(</w:t>
      </w:r>
      <w:r w:rsidR="00495EB8" w:rsidRPr="00451AC0">
        <w:rPr>
          <w:rFonts w:ascii="Times New Roman" w:eastAsia="Times New Roman" w:hAnsi="Times New Roman" w:cs="Times New Roman"/>
          <w:sz w:val="24"/>
          <w:szCs w:val="24"/>
        </w:rPr>
        <w:t>Alessandri,</w:t>
      </w:r>
      <w:r w:rsidR="00495EB8">
        <w:rPr>
          <w:rFonts w:ascii="Times New Roman" w:eastAsia="Times New Roman" w:hAnsi="Times New Roman" w:cs="Times New Roman"/>
          <w:sz w:val="24"/>
          <w:szCs w:val="24"/>
        </w:rPr>
        <w:t xml:space="preserve"> 2010)</w:t>
      </w:r>
      <w:r w:rsidR="00A3617A" w:rsidRPr="00451AC0">
        <w:rPr>
          <w:rFonts w:ascii="Times New Roman" w:hAnsi="Times New Roman" w:cs="Times New Roman"/>
          <w:sz w:val="24"/>
          <w:szCs w:val="24"/>
        </w:rPr>
        <w:t>. The three are interdependent as freedom will only be enjoyed by the citizens if justice and security prevail. Due to the existence of trans-national dimension threats to safety, the national governments cannot work on their own in protecting their citizens. A situation where law enforcement officers and also the judiciary works in collaboration with other states is necessary. Turkish accession, therefore, will provide a better chance for proper cooperation in the European Union in handling matters about border security, corruption, illegal sale of drugs and uncontrolled migration.</w:t>
      </w:r>
    </w:p>
    <w:p w:rsidR="00A3617A" w:rsidRPr="00451AC0" w:rsidRDefault="00451AC0" w:rsidP="00451AC0">
      <w:pPr>
        <w:spacing w:line="480" w:lineRule="auto"/>
        <w:rPr>
          <w:rFonts w:ascii="Times New Roman" w:hAnsi="Times New Roman" w:cs="Times New Roman"/>
          <w:sz w:val="24"/>
          <w:szCs w:val="24"/>
        </w:rPr>
      </w:pPr>
      <w:r>
        <w:rPr>
          <w:rFonts w:ascii="Times New Roman" w:hAnsi="Times New Roman" w:cs="Times New Roman"/>
          <w:sz w:val="24"/>
          <w:szCs w:val="24"/>
        </w:rPr>
        <w:tab/>
      </w:r>
      <w:r w:rsidR="00A3617A" w:rsidRPr="00451AC0">
        <w:rPr>
          <w:rFonts w:ascii="Times New Roman" w:hAnsi="Times New Roman" w:cs="Times New Roman"/>
          <w:sz w:val="24"/>
          <w:szCs w:val="24"/>
        </w:rPr>
        <w:t>There seem to be no fruits for accession currently. Turkey applied to be a member of the EU as early as 1987. Turkish accession negotiations have been going on since 2005.</w:t>
      </w:r>
      <w:r w:rsidR="00495EB8">
        <w:rPr>
          <w:rFonts w:ascii="Times New Roman" w:hAnsi="Times New Roman" w:cs="Times New Roman"/>
          <w:sz w:val="24"/>
          <w:szCs w:val="24"/>
        </w:rPr>
        <w:t xml:space="preserve"> </w:t>
      </w:r>
      <w:r w:rsidR="00A3617A" w:rsidRPr="00451AC0">
        <w:rPr>
          <w:rFonts w:ascii="Times New Roman" w:hAnsi="Times New Roman" w:cs="Times New Roman"/>
          <w:sz w:val="24"/>
          <w:szCs w:val="24"/>
        </w:rPr>
        <w:t xml:space="preserve">The </w:t>
      </w:r>
      <w:r w:rsidR="00A3617A" w:rsidRPr="00451AC0">
        <w:rPr>
          <w:rFonts w:ascii="Times New Roman" w:hAnsi="Times New Roman" w:cs="Times New Roman"/>
          <w:sz w:val="24"/>
          <w:szCs w:val="24"/>
        </w:rPr>
        <w:lastRenderedPageBreak/>
        <w:t>accession talks have encountered a significant number of challenges including the suspension of the discussions by the European Parliament and the 2016-2017 purge that occurred in Turkey bringing the engagements to a standstill</w:t>
      </w:r>
      <w:r w:rsidR="00495EB8" w:rsidRPr="00495EB8">
        <w:rPr>
          <w:rFonts w:ascii="Times New Roman" w:eastAsia="Times New Roman" w:hAnsi="Times New Roman" w:cs="Times New Roman"/>
          <w:sz w:val="24"/>
          <w:szCs w:val="24"/>
        </w:rPr>
        <w:t xml:space="preserve"> </w:t>
      </w:r>
      <w:r w:rsidR="00495EB8">
        <w:rPr>
          <w:rFonts w:ascii="Times New Roman" w:eastAsia="Times New Roman" w:hAnsi="Times New Roman" w:cs="Times New Roman"/>
          <w:sz w:val="24"/>
          <w:szCs w:val="24"/>
        </w:rPr>
        <w:t>(</w:t>
      </w:r>
      <w:r w:rsidR="00495EB8" w:rsidRPr="00451AC0">
        <w:rPr>
          <w:rFonts w:ascii="Times New Roman" w:eastAsia="Times New Roman" w:hAnsi="Times New Roman" w:cs="Times New Roman"/>
          <w:sz w:val="24"/>
          <w:szCs w:val="24"/>
        </w:rPr>
        <w:t>Eichengreen,</w:t>
      </w:r>
      <w:r w:rsidR="00495EB8">
        <w:rPr>
          <w:rFonts w:ascii="Times New Roman" w:eastAsia="Times New Roman" w:hAnsi="Times New Roman" w:cs="Times New Roman"/>
          <w:sz w:val="24"/>
          <w:szCs w:val="24"/>
        </w:rPr>
        <w:t xml:space="preserve"> 2010)</w:t>
      </w:r>
      <w:r w:rsidR="00A3617A" w:rsidRPr="00451AC0">
        <w:rPr>
          <w:rFonts w:ascii="Times New Roman" w:hAnsi="Times New Roman" w:cs="Times New Roman"/>
          <w:sz w:val="24"/>
          <w:szCs w:val="24"/>
        </w:rPr>
        <w:t>. Although Turkey is committed to being partisan with the EU, more woes have befallen them as some of the EU member states such as Brussels declines to back them up. Many of the countries feel that Turkey accession bid is for their domestic political advantage which is far away from the spirit of European Union.</w:t>
      </w:r>
      <w:r>
        <w:rPr>
          <w:rFonts w:ascii="Times New Roman" w:hAnsi="Times New Roman" w:cs="Times New Roman"/>
          <w:sz w:val="24"/>
          <w:szCs w:val="24"/>
        </w:rPr>
        <w:t xml:space="preserve"> </w:t>
      </w:r>
      <w:r w:rsidR="00A3617A" w:rsidRPr="00451AC0">
        <w:rPr>
          <w:rFonts w:ascii="Times New Roman" w:hAnsi="Times New Roman" w:cs="Times New Roman"/>
          <w:sz w:val="24"/>
          <w:szCs w:val="24"/>
        </w:rPr>
        <w:t>Turkey’s accession is one of the most controversial situations for the enlargement of EU as both domestic and external factors sophisticate the accession process. The agreement is becoming complicated each day as queries emerge on cultural borders, geography and the institutional capacity of the EU.</w:t>
      </w:r>
    </w:p>
    <w:p w:rsidR="00342EBB" w:rsidRPr="00451AC0" w:rsidRDefault="00451AC0" w:rsidP="00451AC0">
      <w:pPr>
        <w:spacing w:line="480" w:lineRule="auto"/>
        <w:rPr>
          <w:rFonts w:ascii="Times New Roman" w:hAnsi="Times New Roman" w:cs="Times New Roman"/>
          <w:sz w:val="24"/>
          <w:szCs w:val="24"/>
        </w:rPr>
      </w:pPr>
      <w:r>
        <w:rPr>
          <w:rFonts w:ascii="Times New Roman" w:hAnsi="Times New Roman" w:cs="Times New Roman"/>
          <w:sz w:val="24"/>
          <w:szCs w:val="24"/>
        </w:rPr>
        <w:tab/>
      </w:r>
      <w:r w:rsidR="00A3617A" w:rsidRPr="00451AC0">
        <w:rPr>
          <w:rFonts w:ascii="Times New Roman" w:hAnsi="Times New Roman" w:cs="Times New Roman"/>
          <w:sz w:val="24"/>
          <w:szCs w:val="24"/>
        </w:rPr>
        <w:t>On the possible timetable for Turkish accession, reports are in the public domain that EU will lose Turkey by 2023 if they do not have granted them its membership. Turkey has finished only one chapter out of the thirty-five that any candid</w:t>
      </w:r>
      <w:bookmarkStart w:id="0" w:name="_GoBack"/>
      <w:bookmarkEnd w:id="0"/>
      <w:r w:rsidR="00A3617A" w:rsidRPr="00451AC0">
        <w:rPr>
          <w:rFonts w:ascii="Times New Roman" w:hAnsi="Times New Roman" w:cs="Times New Roman"/>
          <w:sz w:val="24"/>
          <w:szCs w:val="24"/>
        </w:rPr>
        <w:t>ate for accession needs to fulfill</w:t>
      </w:r>
      <w:r w:rsidR="00205391" w:rsidRPr="00451AC0">
        <w:rPr>
          <w:rFonts w:ascii="Times New Roman" w:hAnsi="Times New Roman" w:cs="Times New Roman"/>
          <w:sz w:val="24"/>
          <w:szCs w:val="24"/>
        </w:rPr>
        <w:t>.</w:t>
      </w:r>
      <w:r w:rsidR="001778E7">
        <w:rPr>
          <w:rFonts w:ascii="Times New Roman" w:hAnsi="Times New Roman" w:cs="Times New Roman"/>
          <w:sz w:val="24"/>
          <w:szCs w:val="24"/>
        </w:rPr>
        <w:t xml:space="preserve"> </w:t>
      </w:r>
      <w:r w:rsidR="00A3617A" w:rsidRPr="00451AC0">
        <w:rPr>
          <w:rFonts w:ascii="Times New Roman" w:hAnsi="Times New Roman" w:cs="Times New Roman"/>
          <w:sz w:val="24"/>
          <w:szCs w:val="24"/>
        </w:rPr>
        <w:t>It is even worse as thirteen policy chapters outlined in the Ankara negotiations are null and void, and they lack the required standards on human rights according to the European Union’s executive arm</w:t>
      </w:r>
      <w:r w:rsidR="00205391" w:rsidRPr="00451AC0">
        <w:rPr>
          <w:rFonts w:ascii="Times New Roman" w:hAnsi="Times New Roman" w:cs="Times New Roman"/>
          <w:sz w:val="24"/>
          <w:szCs w:val="24"/>
        </w:rPr>
        <w:t xml:space="preserve"> (</w:t>
      </w:r>
      <w:r w:rsidR="00205391" w:rsidRPr="00451AC0">
        <w:rPr>
          <w:rFonts w:ascii="Times New Roman" w:eastAsia="Times New Roman" w:hAnsi="Times New Roman" w:cs="Times New Roman"/>
          <w:sz w:val="24"/>
          <w:szCs w:val="24"/>
        </w:rPr>
        <w:t>Alessandri, 2010).</w:t>
      </w:r>
      <w:r w:rsidR="00A3617A" w:rsidRPr="00451AC0">
        <w:rPr>
          <w:rFonts w:ascii="Times New Roman" w:hAnsi="Times New Roman" w:cs="Times New Roman"/>
          <w:sz w:val="24"/>
          <w:szCs w:val="24"/>
        </w:rPr>
        <w:t xml:space="preserve"> All these recent developments spell doom for the accession talks and the future of Turkey in the European Union.</w:t>
      </w:r>
    </w:p>
    <w:p w:rsidR="00DB733D" w:rsidRPr="00451AC0" w:rsidRDefault="00DB733D" w:rsidP="00451AC0">
      <w:pPr>
        <w:tabs>
          <w:tab w:val="left" w:pos="5475"/>
        </w:tabs>
        <w:spacing w:line="480" w:lineRule="auto"/>
        <w:rPr>
          <w:rFonts w:ascii="Times New Roman" w:hAnsi="Times New Roman" w:cs="Times New Roman"/>
          <w:sz w:val="24"/>
          <w:szCs w:val="24"/>
        </w:rPr>
      </w:pPr>
    </w:p>
    <w:p w:rsidR="00DB733D" w:rsidRPr="00451AC0" w:rsidRDefault="00DB733D" w:rsidP="00451AC0">
      <w:pPr>
        <w:tabs>
          <w:tab w:val="left" w:pos="5475"/>
        </w:tabs>
        <w:spacing w:line="480" w:lineRule="auto"/>
        <w:rPr>
          <w:rFonts w:ascii="Times New Roman" w:hAnsi="Times New Roman" w:cs="Times New Roman"/>
          <w:sz w:val="24"/>
          <w:szCs w:val="24"/>
        </w:rPr>
      </w:pPr>
    </w:p>
    <w:p w:rsidR="00DB733D" w:rsidRPr="00451AC0" w:rsidRDefault="00DB733D" w:rsidP="00451AC0">
      <w:pPr>
        <w:tabs>
          <w:tab w:val="left" w:pos="5475"/>
        </w:tabs>
        <w:spacing w:line="480" w:lineRule="auto"/>
        <w:rPr>
          <w:rFonts w:ascii="Times New Roman" w:hAnsi="Times New Roman" w:cs="Times New Roman"/>
          <w:sz w:val="24"/>
          <w:szCs w:val="24"/>
        </w:rPr>
      </w:pPr>
    </w:p>
    <w:p w:rsidR="00B077B4" w:rsidRPr="00451AC0" w:rsidRDefault="00B077B4" w:rsidP="00451AC0">
      <w:pPr>
        <w:tabs>
          <w:tab w:val="left" w:pos="5475"/>
        </w:tabs>
        <w:spacing w:line="480" w:lineRule="auto"/>
        <w:rPr>
          <w:rFonts w:ascii="Times New Roman" w:hAnsi="Times New Roman" w:cs="Times New Roman"/>
          <w:sz w:val="24"/>
          <w:szCs w:val="24"/>
        </w:rPr>
      </w:pPr>
    </w:p>
    <w:p w:rsidR="00630A97" w:rsidRPr="00451AC0" w:rsidRDefault="00DB733D" w:rsidP="00451AC0">
      <w:pPr>
        <w:tabs>
          <w:tab w:val="left" w:pos="5475"/>
        </w:tabs>
        <w:spacing w:line="480" w:lineRule="auto"/>
        <w:jc w:val="center"/>
        <w:rPr>
          <w:rFonts w:ascii="Times New Roman" w:hAnsi="Times New Roman" w:cs="Times New Roman"/>
          <w:sz w:val="24"/>
          <w:szCs w:val="24"/>
        </w:rPr>
      </w:pPr>
      <w:r w:rsidRPr="00451AC0">
        <w:rPr>
          <w:rFonts w:ascii="Times New Roman" w:hAnsi="Times New Roman" w:cs="Times New Roman"/>
          <w:sz w:val="24"/>
          <w:szCs w:val="24"/>
        </w:rPr>
        <w:lastRenderedPageBreak/>
        <w:t>References</w:t>
      </w:r>
    </w:p>
    <w:p w:rsidR="00630A97" w:rsidRPr="00451AC0" w:rsidRDefault="00FC53CF" w:rsidP="00451AC0">
      <w:pPr>
        <w:spacing w:after="0" w:line="480" w:lineRule="auto"/>
        <w:ind w:left="720" w:hanging="720"/>
        <w:rPr>
          <w:rFonts w:ascii="Times New Roman" w:eastAsia="Times New Roman" w:hAnsi="Times New Roman" w:cs="Times New Roman"/>
          <w:sz w:val="24"/>
          <w:szCs w:val="24"/>
        </w:rPr>
      </w:pPr>
      <w:r w:rsidRPr="00451AC0">
        <w:rPr>
          <w:rFonts w:ascii="Times New Roman" w:eastAsia="Times New Roman" w:hAnsi="Times New Roman" w:cs="Times New Roman"/>
          <w:sz w:val="24"/>
          <w:szCs w:val="24"/>
        </w:rPr>
        <w:t xml:space="preserve">Wallace, H., Pollack, M. A., &amp; Young, A. R. (Eds.). (2015). </w:t>
      </w:r>
      <w:r w:rsidRPr="00451AC0">
        <w:rPr>
          <w:rFonts w:ascii="Times New Roman" w:eastAsia="Times New Roman" w:hAnsi="Times New Roman" w:cs="Times New Roman"/>
          <w:i/>
          <w:iCs/>
          <w:sz w:val="24"/>
          <w:szCs w:val="24"/>
        </w:rPr>
        <w:t>Policy-making in the European Union</w:t>
      </w:r>
      <w:r w:rsidRPr="00451AC0">
        <w:rPr>
          <w:rFonts w:ascii="Times New Roman" w:eastAsia="Times New Roman" w:hAnsi="Times New Roman" w:cs="Times New Roman"/>
          <w:sz w:val="24"/>
          <w:szCs w:val="24"/>
        </w:rPr>
        <w:t>. Oxford University Press, USA.</w:t>
      </w:r>
    </w:p>
    <w:p w:rsidR="00DB733D" w:rsidRPr="00451AC0" w:rsidRDefault="00630A97" w:rsidP="00451AC0">
      <w:pPr>
        <w:spacing w:line="480" w:lineRule="auto"/>
        <w:ind w:left="720" w:hanging="720"/>
        <w:rPr>
          <w:rFonts w:ascii="Times New Roman" w:eastAsia="Times New Roman" w:hAnsi="Times New Roman" w:cs="Times New Roman"/>
          <w:sz w:val="24"/>
          <w:szCs w:val="24"/>
        </w:rPr>
      </w:pPr>
      <w:r w:rsidRPr="00451AC0">
        <w:rPr>
          <w:rFonts w:ascii="Times New Roman" w:eastAsia="Times New Roman" w:hAnsi="Times New Roman" w:cs="Times New Roman"/>
          <w:sz w:val="24"/>
          <w:szCs w:val="24"/>
        </w:rPr>
        <w:t xml:space="preserve">Harrison, G. W., Rutherford, T. F., &amp;Tarr, D. G. (2014). Economic implications for Turkey of a Customs Union with the European Union. In </w:t>
      </w:r>
      <w:r w:rsidRPr="00451AC0">
        <w:rPr>
          <w:rFonts w:ascii="Times New Roman" w:eastAsia="Times New Roman" w:hAnsi="Times New Roman" w:cs="Times New Roman"/>
          <w:i/>
          <w:iCs/>
          <w:sz w:val="24"/>
          <w:szCs w:val="24"/>
        </w:rPr>
        <w:t>APPLIED TRADE POLICY MODELING IN 16 COUNTRIES: Insights and Impacts from World Bank CGE Based Projects</w:t>
      </w:r>
      <w:r w:rsidRPr="00451AC0">
        <w:rPr>
          <w:rFonts w:ascii="Times New Roman" w:eastAsia="Times New Roman" w:hAnsi="Times New Roman" w:cs="Times New Roman"/>
          <w:sz w:val="24"/>
          <w:szCs w:val="24"/>
        </w:rPr>
        <w:t>.</w:t>
      </w:r>
    </w:p>
    <w:p w:rsidR="0061029E" w:rsidRPr="00495EB8" w:rsidRDefault="0061029E" w:rsidP="00495EB8">
      <w:pPr>
        <w:spacing w:after="0" w:line="480" w:lineRule="auto"/>
        <w:ind w:left="720" w:hanging="720"/>
        <w:rPr>
          <w:rFonts w:ascii="Times New Roman" w:eastAsia="Times New Roman" w:hAnsi="Times New Roman" w:cs="Times New Roman"/>
          <w:sz w:val="24"/>
          <w:szCs w:val="24"/>
        </w:rPr>
      </w:pPr>
      <w:r w:rsidRPr="00451AC0">
        <w:rPr>
          <w:rFonts w:ascii="Times New Roman" w:eastAsia="Times New Roman" w:hAnsi="Times New Roman" w:cs="Times New Roman"/>
          <w:sz w:val="24"/>
          <w:szCs w:val="24"/>
        </w:rPr>
        <w:t xml:space="preserve">Gerhards, J., &amp; Hans, S. (2011). Why not Turkey? Attitudes towards Turkish membership in the EU among citizens in 27 European countries. </w:t>
      </w:r>
      <w:r w:rsidRPr="00451AC0">
        <w:rPr>
          <w:rFonts w:ascii="Times New Roman" w:eastAsia="Times New Roman" w:hAnsi="Times New Roman" w:cs="Times New Roman"/>
          <w:i/>
          <w:iCs/>
          <w:sz w:val="24"/>
          <w:szCs w:val="24"/>
        </w:rPr>
        <w:t>JCMS: Journal of Common Market Studies</w:t>
      </w:r>
      <w:r w:rsidR="00E44E3F" w:rsidRPr="00451AC0">
        <w:rPr>
          <w:rFonts w:ascii="Times New Roman" w:eastAsia="Times New Roman" w:hAnsi="Times New Roman" w:cs="Times New Roman"/>
          <w:sz w:val="24"/>
          <w:szCs w:val="24"/>
        </w:rPr>
        <w:t>.</w:t>
      </w:r>
    </w:p>
    <w:p w:rsidR="0061029E" w:rsidRPr="00495EB8" w:rsidRDefault="0061029E" w:rsidP="00495EB8">
      <w:pPr>
        <w:spacing w:after="0" w:line="480" w:lineRule="auto"/>
        <w:ind w:left="720" w:hanging="720"/>
        <w:rPr>
          <w:rFonts w:ascii="Times New Roman" w:eastAsia="Times New Roman" w:hAnsi="Times New Roman" w:cs="Times New Roman"/>
          <w:sz w:val="24"/>
          <w:szCs w:val="24"/>
        </w:rPr>
      </w:pPr>
      <w:r w:rsidRPr="00451AC0">
        <w:rPr>
          <w:rFonts w:ascii="Times New Roman" w:eastAsia="Times New Roman" w:hAnsi="Times New Roman" w:cs="Times New Roman"/>
          <w:sz w:val="24"/>
          <w:szCs w:val="24"/>
        </w:rPr>
        <w:t xml:space="preserve">Eichengreen, B. (2010). The breakup of the euro area. In </w:t>
      </w:r>
      <w:r w:rsidRPr="00451AC0">
        <w:rPr>
          <w:rFonts w:ascii="Times New Roman" w:eastAsia="Times New Roman" w:hAnsi="Times New Roman" w:cs="Times New Roman"/>
          <w:i/>
          <w:iCs/>
          <w:sz w:val="24"/>
          <w:szCs w:val="24"/>
        </w:rPr>
        <w:t>Europe and the Euro</w:t>
      </w:r>
      <w:r w:rsidRPr="00451AC0">
        <w:rPr>
          <w:rFonts w:ascii="Times New Roman" w:eastAsia="Times New Roman" w:hAnsi="Times New Roman" w:cs="Times New Roman"/>
          <w:sz w:val="24"/>
          <w:szCs w:val="24"/>
        </w:rPr>
        <w:t>. University of Chicago Press.</w:t>
      </w:r>
    </w:p>
    <w:p w:rsidR="00205391" w:rsidRPr="00451AC0" w:rsidRDefault="00205391" w:rsidP="00451AC0">
      <w:pPr>
        <w:spacing w:after="0" w:line="480" w:lineRule="auto"/>
        <w:ind w:left="720" w:hanging="720"/>
        <w:rPr>
          <w:rFonts w:ascii="Times New Roman" w:eastAsia="Times New Roman" w:hAnsi="Times New Roman" w:cs="Times New Roman"/>
          <w:sz w:val="24"/>
          <w:szCs w:val="24"/>
        </w:rPr>
      </w:pPr>
      <w:r w:rsidRPr="00451AC0">
        <w:rPr>
          <w:rFonts w:ascii="Times New Roman" w:eastAsia="Times New Roman" w:hAnsi="Times New Roman" w:cs="Times New Roman"/>
          <w:sz w:val="24"/>
          <w:szCs w:val="24"/>
        </w:rPr>
        <w:t xml:space="preserve">Alessandri, E. (2010). The new Turkish foreign policy and the future of Turkey-EU relations. </w:t>
      </w:r>
      <w:r w:rsidRPr="00451AC0">
        <w:rPr>
          <w:rFonts w:ascii="Times New Roman" w:eastAsia="Times New Roman" w:hAnsi="Times New Roman" w:cs="Times New Roman"/>
          <w:i/>
          <w:iCs/>
          <w:sz w:val="24"/>
          <w:szCs w:val="24"/>
        </w:rPr>
        <w:t>Institute of International Affairs Documents and Working Papers</w:t>
      </w:r>
      <w:r w:rsidRPr="00451AC0">
        <w:rPr>
          <w:rFonts w:ascii="Times New Roman" w:eastAsia="Times New Roman" w:hAnsi="Times New Roman" w:cs="Times New Roman"/>
          <w:sz w:val="24"/>
          <w:szCs w:val="24"/>
        </w:rPr>
        <w:t xml:space="preserve">, </w:t>
      </w:r>
      <w:r w:rsidRPr="00451AC0">
        <w:rPr>
          <w:rFonts w:ascii="Times New Roman" w:eastAsia="Times New Roman" w:hAnsi="Times New Roman" w:cs="Times New Roman"/>
          <w:i/>
          <w:iCs/>
          <w:sz w:val="24"/>
          <w:szCs w:val="24"/>
        </w:rPr>
        <w:t>10</w:t>
      </w:r>
      <w:r w:rsidRPr="00451AC0">
        <w:rPr>
          <w:rFonts w:ascii="Times New Roman" w:eastAsia="Times New Roman" w:hAnsi="Times New Roman" w:cs="Times New Roman"/>
          <w:sz w:val="24"/>
          <w:szCs w:val="24"/>
        </w:rPr>
        <w:t>(3), 1-19.</w:t>
      </w:r>
    </w:p>
    <w:p w:rsidR="00FC53CF" w:rsidRPr="00451AC0" w:rsidRDefault="00FC53CF" w:rsidP="00451AC0">
      <w:pPr>
        <w:tabs>
          <w:tab w:val="left" w:pos="1635"/>
        </w:tabs>
        <w:spacing w:line="480" w:lineRule="auto"/>
        <w:ind w:left="720" w:hanging="720"/>
        <w:rPr>
          <w:rFonts w:ascii="Times New Roman" w:hAnsi="Times New Roman" w:cs="Times New Roman"/>
          <w:sz w:val="24"/>
          <w:szCs w:val="24"/>
        </w:rPr>
      </w:pPr>
    </w:p>
    <w:sectPr w:rsidR="00FC53CF" w:rsidRPr="00451AC0" w:rsidSect="00B077B4">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903A7" w:rsidRDefault="003903A7" w:rsidP="00B37411">
      <w:pPr>
        <w:spacing w:after="0" w:line="240" w:lineRule="auto"/>
      </w:pPr>
      <w:r>
        <w:separator/>
      </w:r>
    </w:p>
  </w:endnote>
  <w:endnote w:type="continuationSeparator" w:id="1">
    <w:p w:rsidR="003903A7" w:rsidRDefault="003903A7" w:rsidP="00B3741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903A7" w:rsidRDefault="003903A7" w:rsidP="00B37411">
      <w:pPr>
        <w:spacing w:after="0" w:line="240" w:lineRule="auto"/>
      </w:pPr>
      <w:r>
        <w:separator/>
      </w:r>
    </w:p>
  </w:footnote>
  <w:footnote w:type="continuationSeparator" w:id="1">
    <w:p w:rsidR="003903A7" w:rsidRDefault="003903A7" w:rsidP="00B3741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683473258"/>
      <w:docPartObj>
        <w:docPartGallery w:val="Page Numbers (Top of Page)"/>
        <w:docPartUnique/>
      </w:docPartObj>
    </w:sdtPr>
    <w:sdtEndPr>
      <w:rPr>
        <w:noProof/>
      </w:rPr>
    </w:sdtEndPr>
    <w:sdtContent>
      <w:p w:rsidR="00834CAE" w:rsidRPr="00834CAE" w:rsidRDefault="00B077B4">
        <w:pPr>
          <w:pStyle w:val="Header"/>
          <w:rPr>
            <w:rFonts w:ascii="Times New Roman" w:hAnsi="Times New Roman" w:cs="Times New Roman"/>
            <w:sz w:val="24"/>
            <w:szCs w:val="24"/>
          </w:rPr>
        </w:pPr>
        <w:r w:rsidRPr="00B077B4">
          <w:rPr>
            <w:rFonts w:ascii="Times New Roman" w:hAnsi="Times New Roman" w:cs="Times New Roman"/>
            <w:sz w:val="24"/>
            <w:szCs w:val="24"/>
          </w:rPr>
          <w:t>ESSAY</w:t>
        </w:r>
        <w:r w:rsidRPr="00B077B4">
          <w:rPr>
            <w:rFonts w:ascii="Times New Roman" w:hAnsi="Times New Roman" w:cs="Times New Roman"/>
            <w:sz w:val="24"/>
            <w:szCs w:val="24"/>
          </w:rPr>
          <w:tab/>
        </w:r>
        <w:r w:rsidRPr="00B077B4">
          <w:rPr>
            <w:rFonts w:ascii="Times New Roman" w:hAnsi="Times New Roman" w:cs="Times New Roman"/>
            <w:sz w:val="24"/>
            <w:szCs w:val="24"/>
          </w:rPr>
          <w:tab/>
        </w:r>
        <w:r w:rsidR="00A536B4" w:rsidRPr="00B077B4">
          <w:rPr>
            <w:rFonts w:ascii="Times New Roman" w:hAnsi="Times New Roman" w:cs="Times New Roman"/>
            <w:sz w:val="24"/>
            <w:szCs w:val="24"/>
          </w:rPr>
          <w:fldChar w:fldCharType="begin"/>
        </w:r>
        <w:r w:rsidRPr="00B077B4">
          <w:rPr>
            <w:rFonts w:ascii="Times New Roman" w:hAnsi="Times New Roman" w:cs="Times New Roman"/>
            <w:sz w:val="24"/>
            <w:szCs w:val="24"/>
          </w:rPr>
          <w:instrText xml:space="preserve"> PAGE   \* MERGEFORMAT </w:instrText>
        </w:r>
        <w:r w:rsidR="00A536B4" w:rsidRPr="00B077B4">
          <w:rPr>
            <w:rFonts w:ascii="Times New Roman" w:hAnsi="Times New Roman" w:cs="Times New Roman"/>
            <w:sz w:val="24"/>
            <w:szCs w:val="24"/>
          </w:rPr>
          <w:fldChar w:fldCharType="separate"/>
        </w:r>
        <w:r w:rsidR="00495EB8">
          <w:rPr>
            <w:rFonts w:ascii="Times New Roman" w:hAnsi="Times New Roman" w:cs="Times New Roman"/>
            <w:noProof/>
            <w:sz w:val="24"/>
            <w:szCs w:val="24"/>
          </w:rPr>
          <w:t>7</w:t>
        </w:r>
        <w:r w:rsidR="00A536B4" w:rsidRPr="00B077B4">
          <w:rPr>
            <w:rFonts w:ascii="Times New Roman" w:hAnsi="Times New Roman" w:cs="Times New Roman"/>
            <w:noProof/>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7411" w:rsidRPr="00B37411" w:rsidRDefault="00B077B4" w:rsidP="00B077B4">
    <w:pPr>
      <w:pStyle w:val="Header"/>
      <w:jc w:val="right"/>
      <w:rPr>
        <w:rFonts w:ascii="Times New Roman" w:hAnsi="Times New Roman" w:cs="Times New Roman"/>
        <w:sz w:val="24"/>
        <w:szCs w:val="24"/>
      </w:rPr>
    </w:pPr>
    <w:r w:rsidRPr="00B077B4">
      <w:rPr>
        <w:rFonts w:ascii="Times New Roman" w:hAnsi="Times New Roman" w:cs="Times New Roman"/>
        <w:sz w:val="24"/>
        <w:szCs w:val="24"/>
      </w:rPr>
      <w:t xml:space="preserve">Running head: ESSAY </w:t>
    </w:r>
    <w:r w:rsidRPr="00B077B4">
      <w:rPr>
        <w:rFonts w:ascii="Times New Roman" w:hAnsi="Times New Roman" w:cs="Times New Roman"/>
        <w:sz w:val="24"/>
        <w:szCs w:val="24"/>
      </w:rPr>
      <w:tab/>
    </w:r>
    <w:r w:rsidRPr="00B077B4">
      <w:rPr>
        <w:rFonts w:ascii="Times New Roman" w:hAnsi="Times New Roman" w:cs="Times New Roman"/>
        <w:sz w:val="24"/>
        <w:szCs w:val="24"/>
      </w:rPr>
      <w:tab/>
    </w:r>
    <w:sdt>
      <w:sdtPr>
        <w:rPr>
          <w:rFonts w:ascii="Times New Roman" w:hAnsi="Times New Roman" w:cs="Times New Roman"/>
          <w:sz w:val="24"/>
          <w:szCs w:val="24"/>
        </w:rPr>
        <w:id w:val="1439183405"/>
        <w:docPartObj>
          <w:docPartGallery w:val="Page Numbers (Top of Page)"/>
          <w:docPartUnique/>
        </w:docPartObj>
      </w:sdtPr>
      <w:sdtEndPr>
        <w:rPr>
          <w:noProof/>
        </w:rPr>
      </w:sdtEndPr>
      <w:sdtContent>
        <w:r w:rsidR="00A536B4" w:rsidRPr="00B077B4">
          <w:rPr>
            <w:rFonts w:ascii="Times New Roman" w:hAnsi="Times New Roman" w:cs="Times New Roman"/>
            <w:sz w:val="24"/>
            <w:szCs w:val="24"/>
          </w:rPr>
          <w:fldChar w:fldCharType="begin"/>
        </w:r>
        <w:r w:rsidRPr="00B077B4">
          <w:rPr>
            <w:rFonts w:ascii="Times New Roman" w:hAnsi="Times New Roman" w:cs="Times New Roman"/>
            <w:sz w:val="24"/>
            <w:szCs w:val="24"/>
          </w:rPr>
          <w:instrText xml:space="preserve"> PAGE   \* MERGEFORMAT </w:instrText>
        </w:r>
        <w:r w:rsidR="00A536B4" w:rsidRPr="00B077B4">
          <w:rPr>
            <w:rFonts w:ascii="Times New Roman" w:hAnsi="Times New Roman" w:cs="Times New Roman"/>
            <w:sz w:val="24"/>
            <w:szCs w:val="24"/>
          </w:rPr>
          <w:fldChar w:fldCharType="separate"/>
        </w:r>
        <w:r w:rsidR="00495EB8">
          <w:rPr>
            <w:rFonts w:ascii="Times New Roman" w:hAnsi="Times New Roman" w:cs="Times New Roman"/>
            <w:noProof/>
            <w:sz w:val="24"/>
            <w:szCs w:val="24"/>
          </w:rPr>
          <w:t>1</w:t>
        </w:r>
        <w:r w:rsidR="00A536B4" w:rsidRPr="00B077B4">
          <w:rPr>
            <w:rFonts w:ascii="Times New Roman" w:hAnsi="Times New Roman" w:cs="Times New Roman"/>
            <w:noProof/>
            <w:sz w:val="24"/>
            <w:szCs w:val="24"/>
          </w:rPr>
          <w:fldChar w:fldCharType="end"/>
        </w:r>
      </w:sdtContent>
    </w:sdt>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0D32B2"/>
    <w:rsid w:val="000102EE"/>
    <w:rsid w:val="00043DCA"/>
    <w:rsid w:val="000D32B2"/>
    <w:rsid w:val="000F4A7F"/>
    <w:rsid w:val="001031DA"/>
    <w:rsid w:val="0010569E"/>
    <w:rsid w:val="00146D6F"/>
    <w:rsid w:val="001778E7"/>
    <w:rsid w:val="001B3D9F"/>
    <w:rsid w:val="001D63F2"/>
    <w:rsid w:val="001F2131"/>
    <w:rsid w:val="00205391"/>
    <w:rsid w:val="002109DA"/>
    <w:rsid w:val="00247EA0"/>
    <w:rsid w:val="002576DA"/>
    <w:rsid w:val="00284BEF"/>
    <w:rsid w:val="002C5E51"/>
    <w:rsid w:val="00303171"/>
    <w:rsid w:val="00322C54"/>
    <w:rsid w:val="00342EBB"/>
    <w:rsid w:val="003903A7"/>
    <w:rsid w:val="00444991"/>
    <w:rsid w:val="00451AC0"/>
    <w:rsid w:val="004555FB"/>
    <w:rsid w:val="00495EB8"/>
    <w:rsid w:val="004A7196"/>
    <w:rsid w:val="005040BC"/>
    <w:rsid w:val="00516C74"/>
    <w:rsid w:val="00532D6F"/>
    <w:rsid w:val="00537899"/>
    <w:rsid w:val="00557757"/>
    <w:rsid w:val="0061029E"/>
    <w:rsid w:val="00617206"/>
    <w:rsid w:val="00630A97"/>
    <w:rsid w:val="00651B5F"/>
    <w:rsid w:val="006B59B1"/>
    <w:rsid w:val="006D7448"/>
    <w:rsid w:val="007060AA"/>
    <w:rsid w:val="00746C4A"/>
    <w:rsid w:val="00762671"/>
    <w:rsid w:val="007D3C4F"/>
    <w:rsid w:val="00834B49"/>
    <w:rsid w:val="00834CAE"/>
    <w:rsid w:val="0088097C"/>
    <w:rsid w:val="008B0CD3"/>
    <w:rsid w:val="00925F56"/>
    <w:rsid w:val="009501A1"/>
    <w:rsid w:val="009645FE"/>
    <w:rsid w:val="009C2A84"/>
    <w:rsid w:val="00A166D5"/>
    <w:rsid w:val="00A23477"/>
    <w:rsid w:val="00A24A7F"/>
    <w:rsid w:val="00A26450"/>
    <w:rsid w:val="00A3617A"/>
    <w:rsid w:val="00A536B4"/>
    <w:rsid w:val="00A712A0"/>
    <w:rsid w:val="00A92822"/>
    <w:rsid w:val="00AF4E30"/>
    <w:rsid w:val="00B00D8E"/>
    <w:rsid w:val="00B077B4"/>
    <w:rsid w:val="00B37411"/>
    <w:rsid w:val="00B3783C"/>
    <w:rsid w:val="00B67A54"/>
    <w:rsid w:val="00BA0662"/>
    <w:rsid w:val="00CB6100"/>
    <w:rsid w:val="00CD7230"/>
    <w:rsid w:val="00D0135A"/>
    <w:rsid w:val="00D120F2"/>
    <w:rsid w:val="00D12F66"/>
    <w:rsid w:val="00D31EFD"/>
    <w:rsid w:val="00DB1F63"/>
    <w:rsid w:val="00DB733D"/>
    <w:rsid w:val="00E33634"/>
    <w:rsid w:val="00E44E3F"/>
    <w:rsid w:val="00E47704"/>
    <w:rsid w:val="00E659D6"/>
    <w:rsid w:val="00FC123B"/>
    <w:rsid w:val="00FC53C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102E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37411"/>
    <w:pPr>
      <w:tabs>
        <w:tab w:val="center" w:pos="4680"/>
        <w:tab w:val="right" w:pos="9360"/>
      </w:tabs>
      <w:spacing w:after="0" w:line="240" w:lineRule="auto"/>
    </w:pPr>
  </w:style>
  <w:style w:type="character" w:customStyle="1" w:styleId="HeaderChar">
    <w:name w:val="Header Char"/>
    <w:basedOn w:val="DefaultParagraphFont"/>
    <w:link w:val="Header"/>
    <w:uiPriority w:val="99"/>
    <w:rsid w:val="00B37411"/>
  </w:style>
  <w:style w:type="paragraph" w:styleId="Footer">
    <w:name w:val="footer"/>
    <w:basedOn w:val="Normal"/>
    <w:link w:val="FooterChar"/>
    <w:uiPriority w:val="99"/>
    <w:unhideWhenUsed/>
    <w:rsid w:val="00B37411"/>
    <w:pPr>
      <w:tabs>
        <w:tab w:val="center" w:pos="4680"/>
        <w:tab w:val="right" w:pos="9360"/>
      </w:tabs>
      <w:spacing w:after="0" w:line="240" w:lineRule="auto"/>
    </w:pPr>
  </w:style>
  <w:style w:type="character" w:customStyle="1" w:styleId="FooterChar">
    <w:name w:val="Footer Char"/>
    <w:basedOn w:val="DefaultParagraphFont"/>
    <w:link w:val="Footer"/>
    <w:uiPriority w:val="99"/>
    <w:rsid w:val="00B37411"/>
  </w:style>
  <w:style w:type="paragraph" w:styleId="NoSpacing">
    <w:name w:val="No Spacing"/>
    <w:uiPriority w:val="1"/>
    <w:qFormat/>
    <w:rsid w:val="00451AC0"/>
    <w:pPr>
      <w:spacing w:after="0" w:line="240" w:lineRule="auto"/>
    </w:pPr>
  </w:style>
</w:styles>
</file>

<file path=word/webSettings.xml><?xml version="1.0" encoding="utf-8"?>
<w:webSettings xmlns:r="http://schemas.openxmlformats.org/officeDocument/2006/relationships" xmlns:w="http://schemas.openxmlformats.org/wordprocessingml/2006/main">
  <w:divs>
    <w:div w:id="993682457">
      <w:bodyDiv w:val="1"/>
      <w:marLeft w:val="0"/>
      <w:marRight w:val="0"/>
      <w:marTop w:val="0"/>
      <w:marBottom w:val="0"/>
      <w:divBdr>
        <w:top w:val="none" w:sz="0" w:space="0" w:color="auto"/>
        <w:left w:val="none" w:sz="0" w:space="0" w:color="auto"/>
        <w:bottom w:val="none" w:sz="0" w:space="0" w:color="auto"/>
        <w:right w:val="none" w:sz="0" w:space="0" w:color="auto"/>
      </w:divBdr>
      <w:divsChild>
        <w:div w:id="1083137292">
          <w:marLeft w:val="0"/>
          <w:marRight w:val="0"/>
          <w:marTop w:val="0"/>
          <w:marBottom w:val="0"/>
          <w:divBdr>
            <w:top w:val="none" w:sz="0" w:space="0" w:color="auto"/>
            <w:left w:val="none" w:sz="0" w:space="0" w:color="auto"/>
            <w:bottom w:val="none" w:sz="0" w:space="0" w:color="auto"/>
            <w:right w:val="none" w:sz="0" w:space="0" w:color="auto"/>
          </w:divBdr>
        </w:div>
      </w:divsChild>
    </w:div>
    <w:div w:id="1015618968">
      <w:bodyDiv w:val="1"/>
      <w:marLeft w:val="0"/>
      <w:marRight w:val="0"/>
      <w:marTop w:val="0"/>
      <w:marBottom w:val="0"/>
      <w:divBdr>
        <w:top w:val="none" w:sz="0" w:space="0" w:color="auto"/>
        <w:left w:val="none" w:sz="0" w:space="0" w:color="auto"/>
        <w:bottom w:val="none" w:sz="0" w:space="0" w:color="auto"/>
        <w:right w:val="none" w:sz="0" w:space="0" w:color="auto"/>
      </w:divBdr>
      <w:divsChild>
        <w:div w:id="1621255810">
          <w:marLeft w:val="0"/>
          <w:marRight w:val="0"/>
          <w:marTop w:val="0"/>
          <w:marBottom w:val="0"/>
          <w:divBdr>
            <w:top w:val="none" w:sz="0" w:space="0" w:color="auto"/>
            <w:left w:val="none" w:sz="0" w:space="0" w:color="auto"/>
            <w:bottom w:val="none" w:sz="0" w:space="0" w:color="auto"/>
            <w:right w:val="none" w:sz="0" w:space="0" w:color="auto"/>
          </w:divBdr>
        </w:div>
      </w:divsChild>
    </w:div>
    <w:div w:id="1047223308">
      <w:bodyDiv w:val="1"/>
      <w:marLeft w:val="0"/>
      <w:marRight w:val="0"/>
      <w:marTop w:val="0"/>
      <w:marBottom w:val="0"/>
      <w:divBdr>
        <w:top w:val="none" w:sz="0" w:space="0" w:color="auto"/>
        <w:left w:val="none" w:sz="0" w:space="0" w:color="auto"/>
        <w:bottom w:val="none" w:sz="0" w:space="0" w:color="auto"/>
        <w:right w:val="none" w:sz="0" w:space="0" w:color="auto"/>
      </w:divBdr>
      <w:divsChild>
        <w:div w:id="1473984244">
          <w:marLeft w:val="0"/>
          <w:marRight w:val="0"/>
          <w:marTop w:val="0"/>
          <w:marBottom w:val="0"/>
          <w:divBdr>
            <w:top w:val="none" w:sz="0" w:space="0" w:color="auto"/>
            <w:left w:val="none" w:sz="0" w:space="0" w:color="auto"/>
            <w:bottom w:val="none" w:sz="0" w:space="0" w:color="auto"/>
            <w:right w:val="none" w:sz="0" w:space="0" w:color="auto"/>
          </w:divBdr>
        </w:div>
      </w:divsChild>
    </w:div>
    <w:div w:id="1163862767">
      <w:bodyDiv w:val="1"/>
      <w:marLeft w:val="0"/>
      <w:marRight w:val="0"/>
      <w:marTop w:val="0"/>
      <w:marBottom w:val="0"/>
      <w:divBdr>
        <w:top w:val="none" w:sz="0" w:space="0" w:color="auto"/>
        <w:left w:val="none" w:sz="0" w:space="0" w:color="auto"/>
        <w:bottom w:val="none" w:sz="0" w:space="0" w:color="auto"/>
        <w:right w:val="none" w:sz="0" w:space="0" w:color="auto"/>
      </w:divBdr>
      <w:divsChild>
        <w:div w:id="1558317816">
          <w:marLeft w:val="0"/>
          <w:marRight w:val="0"/>
          <w:marTop w:val="0"/>
          <w:marBottom w:val="0"/>
          <w:divBdr>
            <w:top w:val="none" w:sz="0" w:space="0" w:color="auto"/>
            <w:left w:val="none" w:sz="0" w:space="0" w:color="auto"/>
            <w:bottom w:val="none" w:sz="0" w:space="0" w:color="auto"/>
            <w:right w:val="none" w:sz="0" w:space="0" w:color="auto"/>
          </w:divBdr>
        </w:div>
      </w:divsChild>
    </w:div>
    <w:div w:id="2034458319">
      <w:bodyDiv w:val="1"/>
      <w:marLeft w:val="0"/>
      <w:marRight w:val="0"/>
      <w:marTop w:val="0"/>
      <w:marBottom w:val="0"/>
      <w:divBdr>
        <w:top w:val="none" w:sz="0" w:space="0" w:color="auto"/>
        <w:left w:val="none" w:sz="0" w:space="0" w:color="auto"/>
        <w:bottom w:val="none" w:sz="0" w:space="0" w:color="auto"/>
        <w:right w:val="none" w:sz="0" w:space="0" w:color="auto"/>
      </w:divBdr>
      <w:divsChild>
        <w:div w:id="65132514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7</Pages>
  <Words>1566</Words>
  <Characters>8929</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10475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2017-11-30T08:11:00Z</dcterms:created>
  <dcterms:modified xsi:type="dcterms:W3CDTF">2017-11-30T08:11:00Z</dcterms:modified>
</cp:coreProperties>
</file>